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BE" w:rsidRDefault="002912BE" w:rsidP="002912BE">
      <w:pPr>
        <w:jc w:val="right"/>
        <w:rPr>
          <w:b/>
          <w:i/>
        </w:rPr>
      </w:pPr>
      <w:r>
        <w:rPr>
          <w:b/>
          <w:i/>
        </w:rPr>
        <w:t>В компетентные органы</w:t>
      </w:r>
    </w:p>
    <w:p w:rsidR="002912BE" w:rsidRDefault="002912BE" w:rsidP="002912BE">
      <w:pPr>
        <w:spacing w:line="100" w:lineRule="atLeast"/>
        <w:ind w:right="-284"/>
        <w:jc w:val="right"/>
        <w:rPr>
          <w:b/>
          <w:i/>
        </w:rPr>
      </w:pPr>
    </w:p>
    <w:p w:rsidR="002912BE" w:rsidRDefault="002912BE" w:rsidP="002912BE">
      <w:pPr>
        <w:pStyle w:val="ConsPlusNormal"/>
        <w:ind w:right="-284"/>
        <w:jc w:val="center"/>
        <w:rPr>
          <w:rFonts w:ascii="Times New Roman" w:hAnsi="Times New Roman"/>
          <w:b/>
          <w:sz w:val="24"/>
        </w:rPr>
      </w:pPr>
    </w:p>
    <w:p w:rsidR="002912BE" w:rsidRDefault="002912BE" w:rsidP="002912BE">
      <w:pPr>
        <w:pStyle w:val="ConsPlusNormal"/>
        <w:ind w:right="-284"/>
        <w:jc w:val="center"/>
        <w:rPr>
          <w:rFonts w:ascii="Times New Roman" w:hAnsi="Times New Roman"/>
          <w:b/>
          <w:sz w:val="24"/>
        </w:rPr>
      </w:pPr>
    </w:p>
    <w:p w:rsidR="002912BE" w:rsidRDefault="002912BE" w:rsidP="002912BE">
      <w:pPr>
        <w:pStyle w:val="ConsPlusNormal"/>
        <w:ind w:right="-284"/>
        <w:jc w:val="center"/>
        <w:rPr>
          <w:rFonts w:ascii="Times New Roman" w:hAnsi="Times New Roman"/>
          <w:b/>
          <w:sz w:val="24"/>
        </w:rPr>
      </w:pPr>
    </w:p>
    <w:p w:rsidR="002912BE" w:rsidRDefault="002912BE" w:rsidP="002912BE">
      <w:pPr>
        <w:pStyle w:val="ConsPlusNormal"/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СПРАВКА</w:t>
      </w:r>
    </w:p>
    <w:p w:rsidR="002912BE" w:rsidRDefault="002912BE" w:rsidP="002912BE">
      <w:pPr>
        <w:pStyle w:val="ConsPlusNormal"/>
        <w:ind w:left="30"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Общества с ограниченной ответственностью </w:t>
      </w:r>
    </w:p>
    <w:p w:rsidR="002912BE" w:rsidRDefault="002912BE" w:rsidP="002912BE">
      <w:pPr>
        <w:pStyle w:val="ConsPlusNormal"/>
        <w:ind w:left="30"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«____»</w:t>
      </w:r>
    </w:p>
    <w:p w:rsidR="002912BE" w:rsidRDefault="002912BE" w:rsidP="002912BE">
      <w:pPr>
        <w:pStyle w:val="ConsPlusNormal"/>
        <w:ind w:left="30" w:right="-284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(ОГРН____, ИНН___)</w:t>
      </w:r>
    </w:p>
    <w:p w:rsidR="002912BE" w:rsidRDefault="002912BE" w:rsidP="002912BE">
      <w:pPr>
        <w:pStyle w:val="ConsPlusNormal"/>
        <w:ind w:right="-284"/>
        <w:jc w:val="center"/>
        <w:rPr>
          <w:rFonts w:ascii="Times New Roman" w:hAnsi="Times New Roman"/>
          <w:i/>
          <w:sz w:val="24"/>
        </w:rPr>
      </w:pPr>
    </w:p>
    <w:p w:rsidR="002912BE" w:rsidRDefault="002912BE" w:rsidP="002912BE">
      <w:pPr>
        <w:pStyle w:val="ConsPlusNormal"/>
        <w:ind w:left="1134" w:right="-284"/>
        <w:jc w:val="center"/>
        <w:rPr>
          <w:rFonts w:ascii="Times New Roman" w:hAnsi="Times New Roman"/>
          <w:i/>
          <w:sz w:val="24"/>
        </w:rPr>
      </w:pPr>
    </w:p>
    <w:p w:rsidR="002912BE" w:rsidRPr="007A4271" w:rsidRDefault="002912BE" w:rsidP="002912BE">
      <w:pPr>
        <w:pStyle w:val="ConsPlusNormal"/>
        <w:spacing w:before="220"/>
        <w:ind w:left="38"/>
        <w:jc w:val="both"/>
        <w:rPr>
          <w:sz w:val="24"/>
        </w:rPr>
      </w:pPr>
      <w:r w:rsidRPr="007A4271">
        <w:rPr>
          <w:rFonts w:ascii="Times New Roman" w:hAnsi="Times New Roman"/>
          <w:sz w:val="24"/>
        </w:rPr>
        <w:t>г.______</w:t>
      </w:r>
      <w:r w:rsidRPr="007A4271">
        <w:rPr>
          <w:rFonts w:ascii="Times New Roman" w:hAnsi="Times New Roman"/>
          <w:sz w:val="24"/>
        </w:rPr>
        <w:tab/>
      </w:r>
      <w:r w:rsidRPr="007A4271">
        <w:rPr>
          <w:rFonts w:ascii="Times New Roman" w:hAnsi="Times New Roman"/>
          <w:sz w:val="24"/>
        </w:rPr>
        <w:tab/>
      </w:r>
      <w:r w:rsidRPr="007A4271">
        <w:rPr>
          <w:rFonts w:ascii="Times New Roman" w:hAnsi="Times New Roman"/>
          <w:sz w:val="24"/>
        </w:rPr>
        <w:tab/>
      </w:r>
      <w:r w:rsidRPr="007A4271">
        <w:rPr>
          <w:rFonts w:ascii="Times New Roman" w:hAnsi="Times New Roman"/>
          <w:sz w:val="24"/>
        </w:rPr>
        <w:tab/>
      </w:r>
      <w:r w:rsidRPr="007A4271">
        <w:rPr>
          <w:rFonts w:ascii="Times New Roman" w:hAnsi="Times New Roman"/>
          <w:sz w:val="24"/>
        </w:rPr>
        <w:tab/>
      </w:r>
      <w:r w:rsidRPr="007A4271">
        <w:rPr>
          <w:rFonts w:ascii="Times New Roman" w:hAnsi="Times New Roman"/>
          <w:sz w:val="24"/>
        </w:rPr>
        <w:tab/>
      </w:r>
      <w:r w:rsidRPr="007A4271">
        <w:rPr>
          <w:rFonts w:ascii="Times New Roman" w:hAnsi="Times New Roman"/>
          <w:sz w:val="24"/>
        </w:rPr>
        <w:tab/>
        <w:t xml:space="preserve">                                «__»_____ 20__г.</w:t>
      </w:r>
    </w:p>
    <w:p w:rsidR="002912BE" w:rsidRDefault="002912BE" w:rsidP="002912BE">
      <w:pPr>
        <w:jc w:val="right"/>
        <w:rPr>
          <w:b/>
          <w:i/>
        </w:rPr>
      </w:pPr>
    </w:p>
    <w:p w:rsidR="002912BE" w:rsidRDefault="002912BE" w:rsidP="002912BE">
      <w:pPr>
        <w:jc w:val="right"/>
        <w:rPr>
          <w:b/>
        </w:rPr>
      </w:pPr>
    </w:p>
    <w:p w:rsidR="002912BE" w:rsidRDefault="002912BE" w:rsidP="002912BE">
      <w:pPr>
        <w:jc w:val="center"/>
        <w:rPr>
          <w:b/>
        </w:rPr>
      </w:pPr>
    </w:p>
    <w:p w:rsidR="002912BE" w:rsidRDefault="002912BE" w:rsidP="002912BE">
      <w:pPr>
        <w:pStyle w:val="Normal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Общество с ограниченной ответственностью «___» подтверждает, что сделка по </w:t>
      </w:r>
      <w:r>
        <w:rPr>
          <w:rFonts w:ascii="Times New Roman" w:hAnsi="Times New Roman"/>
          <w:i/>
        </w:rPr>
        <w:t>(вид сделки — по продаже 100% долей в уставном капитале Общества с ограниченной ответственностью «___» номинальной стоимостью 20000 (двадцать тысяч) рублей 00 коп. за 20000 (двадцать тысяч) рублей 00 коп.),</w:t>
      </w:r>
      <w:r>
        <w:rPr>
          <w:rFonts w:ascii="Times New Roman" w:hAnsi="Times New Roman"/>
        </w:rPr>
        <w:t xml:space="preserve"> не является для Общества с ограниченной ответственностью «___» крупной сделкой, а также, что указанная сделка не   является сделкой с участием заинтересованных лиц.</w:t>
      </w:r>
      <w:r w:rsidR="007A42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[1]</w:t>
      </w:r>
    </w:p>
    <w:p w:rsidR="002912BE" w:rsidRDefault="002912BE" w:rsidP="002912BE">
      <w:pPr>
        <w:pStyle w:val="Normal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Совершения действий, предусмотренных статьей 45-46 ФЗ «Об обществах с ограниченной ответственностью» от 08.02.1998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14-ФЗ не требуется.</w:t>
      </w:r>
      <w:r w:rsidR="007A4271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[</w:t>
      </w:r>
      <w:proofErr w:type="gramEnd"/>
      <w:r>
        <w:rPr>
          <w:rFonts w:ascii="Times New Roman" w:hAnsi="Times New Roman"/>
        </w:rPr>
        <w:t>2]</w:t>
      </w:r>
    </w:p>
    <w:p w:rsidR="002912BE" w:rsidRDefault="002912BE" w:rsidP="002912BE">
      <w:pPr>
        <w:pStyle w:val="Normal"/>
        <w:spacing w:line="276" w:lineRule="auto"/>
        <w:ind w:firstLine="567"/>
        <w:jc w:val="both"/>
        <w:rPr>
          <w:rFonts w:ascii="Times New Roman" w:hAnsi="Times New Roman"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</w:rPr>
      </w:pPr>
    </w:p>
    <w:p w:rsidR="002912BE" w:rsidRDefault="002912BE" w:rsidP="002912BE">
      <w:pPr>
        <w:spacing w:after="200" w:line="100" w:lineRule="atLeast"/>
        <w:ind w:right="1134"/>
        <w:jc w:val="both"/>
        <w:rPr>
          <w:b/>
        </w:rPr>
      </w:pPr>
      <w:r>
        <w:rPr>
          <w:i/>
        </w:rPr>
        <w:t xml:space="preserve">Генеральный директор </w:t>
      </w:r>
      <w:r>
        <w:rPr>
          <w:b/>
        </w:rPr>
        <w:t>_____________</w:t>
      </w:r>
      <w:r>
        <w:t>ФИО</w:t>
      </w: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  <w:sz w:val="28"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  <w:sz w:val="28"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  <w:sz w:val="28"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  <w:sz w:val="28"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  <w:sz w:val="28"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  <w:sz w:val="28"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  <w:sz w:val="28"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  <w:sz w:val="28"/>
        </w:rPr>
      </w:pPr>
    </w:p>
    <w:p w:rsidR="002912BE" w:rsidRDefault="002912BE" w:rsidP="002912BE">
      <w:pPr>
        <w:pStyle w:val="a3"/>
        <w:spacing w:line="276" w:lineRule="auto"/>
        <w:ind w:right="33"/>
        <w:jc w:val="both"/>
        <w:rPr>
          <w:b/>
          <w:sz w:val="28"/>
        </w:rPr>
      </w:pPr>
    </w:p>
    <w:p w:rsidR="002912BE" w:rsidRDefault="002912BE" w:rsidP="002912BE">
      <w:pPr>
        <w:pStyle w:val="Normal"/>
        <w:pBdr>
          <w:bottom w:val="single" w:sz="6" w:space="2" w:color="000000"/>
        </w:pBdr>
        <w:spacing w:line="276" w:lineRule="auto"/>
        <w:jc w:val="both"/>
        <w:rPr>
          <w:rFonts w:ascii="Times New Roman" w:hAnsi="Times New Roman"/>
          <w:b/>
          <w:i/>
          <w:sz w:val="20"/>
        </w:rPr>
      </w:pPr>
    </w:p>
    <w:p w:rsidR="002912BE" w:rsidRDefault="002912BE" w:rsidP="002912BE">
      <w:pPr>
        <w:pStyle w:val="Normal"/>
        <w:spacing w:line="276" w:lineRule="auto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[1] О заинтересованности в совершении обществом сделки –</w:t>
      </w:r>
      <w:r>
        <w:rPr>
          <w:rFonts w:ascii="Times New Roman" w:hAnsi="Times New Roman"/>
          <w:i/>
          <w:color w:val="000000"/>
          <w:sz w:val="18"/>
        </w:rPr>
        <w:t xml:space="preserve"> ст. ст. 81, 83 </w:t>
      </w:r>
      <w:r>
        <w:rPr>
          <w:rFonts w:ascii="Times New Roman" w:hAnsi="Times New Roman"/>
          <w:i/>
          <w:sz w:val="18"/>
        </w:rPr>
        <w:t xml:space="preserve">Федерального закона от 26.12.1995 </w:t>
      </w:r>
      <w:r w:rsidR="007A4271">
        <w:rPr>
          <w:rFonts w:ascii="Times New Roman" w:hAnsi="Times New Roman"/>
          <w:i/>
          <w:sz w:val="18"/>
        </w:rPr>
        <w:t>№</w:t>
      </w:r>
      <w:bookmarkStart w:id="0" w:name="_GoBack"/>
      <w:bookmarkEnd w:id="0"/>
      <w:r>
        <w:rPr>
          <w:rFonts w:ascii="Times New Roman" w:hAnsi="Times New Roman"/>
          <w:i/>
          <w:sz w:val="18"/>
        </w:rPr>
        <w:t xml:space="preserve"> 208-ФЗ “Об акционерных обществах”, ст. 45 Федерального закона от 08.02.1998 № 14-ФЗ “Об обществах с ограниченной ответственностью”.</w:t>
      </w:r>
    </w:p>
    <w:p w:rsidR="002912BE" w:rsidRDefault="002912BE" w:rsidP="002912BE">
      <w:pPr>
        <w:pStyle w:val="Normal"/>
        <w:spacing w:line="276" w:lineRule="auto"/>
        <w:jc w:val="both"/>
      </w:pPr>
      <w:r>
        <w:rPr>
          <w:rFonts w:ascii="Times New Roman" w:hAnsi="Times New Roman"/>
          <w:i/>
          <w:sz w:val="18"/>
        </w:rPr>
        <w:t>[2] Порядок одобрения крупных сделок предусмотрен ст. ст. 78, 79 Федерального закона от 26.12.1995 № 208-ФЗ “Об акционерных обществах”.</w:t>
      </w:r>
    </w:p>
    <w:p w:rsidR="002912BE" w:rsidRDefault="002912BE" w:rsidP="002912BE"/>
    <w:p w:rsidR="006D57FE" w:rsidRDefault="007A4271"/>
    <w:sectPr w:rsidR="006D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37"/>
    <w:rsid w:val="002912BE"/>
    <w:rsid w:val="00302E37"/>
    <w:rsid w:val="0065776A"/>
    <w:rsid w:val="006727A5"/>
    <w:rsid w:val="007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93662-21FD-4F0E-9EB0-C93436C2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B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"/>
    <w:rsid w:val="002912B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Normal">
    <w:name w:val="[Normal]"/>
    <w:rsid w:val="002912B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customStyle="1" w:styleId="ConsPlusNormal">
    <w:name w:val="ConsPlusNormal"/>
    <w:rsid w:val="002912BE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Arial" w:eastAsia="Times New Roman" w:hAnsi="Arial" w:cs="Times New Roman"/>
      <w:kern w:val="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dcterms:created xsi:type="dcterms:W3CDTF">2023-08-19T11:47:00Z</dcterms:created>
  <dcterms:modified xsi:type="dcterms:W3CDTF">2023-08-19T13:05:00Z</dcterms:modified>
</cp:coreProperties>
</file>